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9EC" w:rsidRDefault="002D4D67" w:rsidP="005567F0">
      <w:pPr>
        <w:spacing w:after="0" w:line="240" w:lineRule="auto"/>
        <w:rPr>
          <w:rFonts w:cs="Arial"/>
        </w:rPr>
      </w:pPr>
      <w:bookmarkStart w:id="0" w:name="_GoBack"/>
      <w:bookmarkEnd w:id="0"/>
      <w:r>
        <w:rPr>
          <w:rFonts w:cs="Arial"/>
        </w:rPr>
        <w:br/>
      </w:r>
      <w:r w:rsidR="0055549D" w:rsidRPr="00E22247">
        <w:rPr>
          <w:rFonts w:cs="Arial"/>
        </w:rPr>
        <w:t xml:space="preserve">Position </w:t>
      </w:r>
      <w:r w:rsidR="00E569EC" w:rsidRPr="00E22247">
        <w:rPr>
          <w:rFonts w:cs="Arial"/>
        </w:rPr>
        <w:t>Statement</w:t>
      </w:r>
      <w:r w:rsidR="0055549D" w:rsidRPr="00E22247">
        <w:rPr>
          <w:rFonts w:cs="Arial"/>
        </w:rPr>
        <w:t>,</w:t>
      </w:r>
      <w:r w:rsidR="00E569EC" w:rsidRPr="00E22247">
        <w:rPr>
          <w:rFonts w:cs="Arial"/>
        </w:rPr>
        <w:t xml:space="preserve"> </w:t>
      </w:r>
      <w:r w:rsidR="0055549D" w:rsidRPr="00E22247">
        <w:rPr>
          <w:rFonts w:cs="Arial"/>
        </w:rPr>
        <w:t>201</w:t>
      </w:r>
      <w:r w:rsidR="00A21B1B">
        <w:rPr>
          <w:rFonts w:cs="Arial"/>
        </w:rPr>
        <w:t>6</w:t>
      </w:r>
      <w:r w:rsidR="0055549D" w:rsidRPr="00E22247">
        <w:rPr>
          <w:rFonts w:cs="Arial"/>
        </w:rPr>
        <w:t xml:space="preserve"> </w:t>
      </w:r>
      <w:r w:rsidR="00E569EC" w:rsidRPr="00E22247">
        <w:rPr>
          <w:rFonts w:cs="Arial"/>
        </w:rPr>
        <w:t>World Health Assembly</w:t>
      </w:r>
      <w:r w:rsidR="001D1030">
        <w:rPr>
          <w:rFonts w:cs="Arial"/>
        </w:rPr>
        <w:tab/>
      </w:r>
      <w:r w:rsidR="00E569EC" w:rsidRPr="00E22247">
        <w:rPr>
          <w:rFonts w:cs="Arial"/>
        </w:rPr>
        <w:br/>
      </w:r>
      <w:r w:rsidR="005567F0" w:rsidRPr="00441620">
        <w:rPr>
          <w:rFonts w:cs="Arial"/>
          <w:b/>
        </w:rPr>
        <w:t>Prevention of Blindness Due to Retinopathy of Prematurity (ROP</w:t>
      </w:r>
      <w:r w:rsidR="005567F0">
        <w:rPr>
          <w:rFonts w:cs="Arial"/>
          <w:b/>
        </w:rPr>
        <w:t>)</w:t>
      </w:r>
      <w:r w:rsidR="00E569EC" w:rsidRPr="00E22247">
        <w:rPr>
          <w:rFonts w:cs="Arial"/>
        </w:rPr>
        <w:br/>
        <w:t xml:space="preserve">International </w:t>
      </w:r>
      <w:r w:rsidR="0055549D" w:rsidRPr="00E22247">
        <w:rPr>
          <w:rFonts w:cs="Arial"/>
        </w:rPr>
        <w:t>Pediatric Association</w:t>
      </w:r>
      <w:r w:rsidR="0055549D" w:rsidRPr="00E22247">
        <w:rPr>
          <w:rFonts w:cs="Arial"/>
        </w:rPr>
        <w:br/>
      </w:r>
      <w:r w:rsidR="00A21B1B">
        <w:rPr>
          <w:rFonts w:cs="Arial"/>
        </w:rPr>
        <w:t>May 2016</w:t>
      </w:r>
    </w:p>
    <w:p w:rsidR="00531286" w:rsidRPr="005567F0" w:rsidRDefault="00531286" w:rsidP="005567F0">
      <w:pPr>
        <w:spacing w:after="0" w:line="240" w:lineRule="auto"/>
        <w:rPr>
          <w:rFonts w:cs="Arial"/>
          <w:b/>
        </w:rPr>
      </w:pPr>
    </w:p>
    <w:p w:rsidR="00531286" w:rsidRDefault="00531286" w:rsidP="00531286">
      <w:pPr>
        <w:autoSpaceDE w:val="0"/>
        <w:autoSpaceDN w:val="0"/>
        <w:adjustRightInd w:val="0"/>
        <w:spacing w:after="0" w:line="240" w:lineRule="auto"/>
        <w:rPr>
          <w:rFonts w:cs="Calibri"/>
        </w:rPr>
      </w:pPr>
      <w:r>
        <w:rPr>
          <w:rFonts w:cs="Calibri"/>
        </w:rPr>
        <w:t>A preventable epidemic of neonatal blindness associated with use of therapeutic oxygen for prematurely born babies is occurring. This epidemic is largely preventable with improved medical practices and procedures with low cost and huge cost savings for families, communities and nations.</w:t>
      </w:r>
    </w:p>
    <w:p w:rsidR="00531286" w:rsidRDefault="00531286" w:rsidP="00531286">
      <w:pPr>
        <w:autoSpaceDE w:val="0"/>
        <w:autoSpaceDN w:val="0"/>
        <w:adjustRightInd w:val="0"/>
        <w:spacing w:after="0" w:line="240" w:lineRule="auto"/>
        <w:rPr>
          <w:rFonts w:cs="Calibri"/>
        </w:rPr>
      </w:pPr>
      <w:r>
        <w:rPr>
          <w:rFonts w:cs="Calibri"/>
        </w:rPr>
        <w:t>ROP occurs in prematurely born babies throughout the world. Each year 20,000 babies suffer total blindness or severe visual impairment. Many more (&gt;12,000) develop moderate/mild visual impairment each year. Most of these cases occur in low to middle income countries.</w:t>
      </w:r>
    </w:p>
    <w:p w:rsidR="0055549D" w:rsidRDefault="0055549D" w:rsidP="00193D23">
      <w:pPr>
        <w:autoSpaceDE w:val="0"/>
        <w:autoSpaceDN w:val="0"/>
        <w:adjustRightInd w:val="0"/>
        <w:spacing w:after="0" w:line="240" w:lineRule="auto"/>
        <w:rPr>
          <w:rFonts w:cs="Calibri"/>
        </w:rPr>
      </w:pPr>
    </w:p>
    <w:p w:rsidR="00531286" w:rsidRPr="00531286" w:rsidRDefault="00531286" w:rsidP="00713ED9">
      <w:pPr>
        <w:autoSpaceDE w:val="0"/>
        <w:autoSpaceDN w:val="0"/>
        <w:adjustRightInd w:val="0"/>
        <w:rPr>
          <w:rFonts w:cs="Calibri"/>
        </w:rPr>
      </w:pPr>
      <w:r w:rsidRPr="00531286">
        <w:rPr>
          <w:rFonts w:cs="Calibri"/>
        </w:rPr>
        <w:t>The following steps will greatly help eliminate this epidemic of life long blindness:</w:t>
      </w:r>
    </w:p>
    <w:p w:rsidR="006F186C" w:rsidRPr="009B7134" w:rsidRDefault="009B7134" w:rsidP="00713ED9">
      <w:pPr>
        <w:pStyle w:val="ListParagraph"/>
        <w:numPr>
          <w:ilvl w:val="0"/>
          <w:numId w:val="7"/>
        </w:numPr>
        <w:rPr>
          <w:rFonts w:cs="Estrangelo Edessa"/>
        </w:rPr>
      </w:pPr>
      <w:r w:rsidRPr="00441620">
        <w:rPr>
          <w:rFonts w:cs="Calibri"/>
        </w:rPr>
        <w:t>A</w:t>
      </w:r>
      <w:r>
        <w:rPr>
          <w:rFonts w:cs="Calibri"/>
        </w:rPr>
        <w:t>ppropriate use of a</w:t>
      </w:r>
      <w:r w:rsidRPr="00441620">
        <w:rPr>
          <w:rFonts w:cs="Calibri"/>
        </w:rPr>
        <w:t>ntenatal corticosteroids &amp; early constant positive airway pressure can reduce t</w:t>
      </w:r>
      <w:r w:rsidRPr="003718CA">
        <w:rPr>
          <w:rFonts w:cs="Calibri"/>
        </w:rPr>
        <w:t>he need for supplemental oxygen in preterm babies</w:t>
      </w:r>
      <w:r>
        <w:rPr>
          <w:rFonts w:cs="Calibri"/>
        </w:rPr>
        <w:t>.</w:t>
      </w:r>
    </w:p>
    <w:p w:rsidR="009B7134" w:rsidRPr="009B7134" w:rsidRDefault="00441620" w:rsidP="00713ED9">
      <w:pPr>
        <w:pStyle w:val="ListParagraph"/>
        <w:numPr>
          <w:ilvl w:val="0"/>
          <w:numId w:val="7"/>
        </w:numPr>
        <w:rPr>
          <w:rFonts w:cs="Estrangelo Edessa"/>
        </w:rPr>
      </w:pPr>
      <w:r>
        <w:rPr>
          <w:rFonts w:cs="Calibri"/>
        </w:rPr>
        <w:t>Resuscitation of</w:t>
      </w:r>
      <w:r w:rsidR="009B7134">
        <w:rPr>
          <w:rFonts w:cs="Calibri"/>
        </w:rPr>
        <w:t xml:space="preserve"> most preterm infant should be started with room air.</w:t>
      </w:r>
    </w:p>
    <w:p w:rsidR="009B7134" w:rsidRPr="009B7134" w:rsidRDefault="009B7134" w:rsidP="00713ED9">
      <w:pPr>
        <w:pStyle w:val="ListParagraph"/>
        <w:numPr>
          <w:ilvl w:val="0"/>
          <w:numId w:val="7"/>
        </w:numPr>
        <w:rPr>
          <w:rFonts w:cs="Estrangelo Edessa"/>
        </w:rPr>
      </w:pPr>
      <w:r>
        <w:rPr>
          <w:rFonts w:cs="Calibri"/>
        </w:rPr>
        <w:t>Oxygen supplementation requires a method for adjusting oxygen concentrations.</w:t>
      </w:r>
    </w:p>
    <w:p w:rsidR="009B7134" w:rsidRPr="009B7134" w:rsidRDefault="009B7134" w:rsidP="00713ED9">
      <w:pPr>
        <w:pStyle w:val="ListParagraph"/>
        <w:numPr>
          <w:ilvl w:val="0"/>
          <w:numId w:val="7"/>
        </w:numPr>
        <w:autoSpaceDE w:val="0"/>
        <w:autoSpaceDN w:val="0"/>
        <w:adjustRightInd w:val="0"/>
        <w:rPr>
          <w:rFonts w:cs="Calibri"/>
        </w:rPr>
      </w:pPr>
      <w:r w:rsidRPr="009B7134">
        <w:rPr>
          <w:rFonts w:cs="Calibri"/>
        </w:rPr>
        <w:t>Pulse oximeters should be used if a baby is given extra oxygen with measurements and adjustment of supplemental oxygen at least every 6 hours.</w:t>
      </w:r>
    </w:p>
    <w:p w:rsidR="009B7134" w:rsidRPr="009B7134" w:rsidRDefault="009B7134" w:rsidP="00713ED9">
      <w:pPr>
        <w:pStyle w:val="ListParagraph"/>
        <w:numPr>
          <w:ilvl w:val="0"/>
          <w:numId w:val="7"/>
        </w:numPr>
        <w:rPr>
          <w:rFonts w:cs="Estrangelo Edessa"/>
        </w:rPr>
      </w:pPr>
      <w:r>
        <w:rPr>
          <w:rFonts w:cs="Calibri"/>
        </w:rPr>
        <w:t>Target oxygen saturations should be 90-95% avoiding periods of time &gt;95%.</w:t>
      </w:r>
    </w:p>
    <w:p w:rsidR="009B7134" w:rsidRPr="009B7134" w:rsidRDefault="009B7134" w:rsidP="00713ED9">
      <w:pPr>
        <w:pStyle w:val="ListParagraph"/>
        <w:numPr>
          <w:ilvl w:val="0"/>
          <w:numId w:val="7"/>
        </w:numPr>
        <w:rPr>
          <w:rFonts w:cs="Estrangelo Edessa"/>
        </w:rPr>
      </w:pPr>
      <w:r>
        <w:rPr>
          <w:rFonts w:cs="Calibri"/>
        </w:rPr>
        <w:t xml:space="preserve">Every preterm infant &lt; 34 weeks gestation at birth treated with oxygen should have an eye </w:t>
      </w:r>
      <w:r w:rsidR="00441620">
        <w:rPr>
          <w:rFonts w:cs="Calibri"/>
        </w:rPr>
        <w:t>exam 4</w:t>
      </w:r>
      <w:r>
        <w:rPr>
          <w:rFonts w:cs="Calibri"/>
        </w:rPr>
        <w:t>-5 weeks following birth with referral for ROP treatment as needed.</w:t>
      </w:r>
    </w:p>
    <w:p w:rsidR="009B7134" w:rsidRPr="009B7134" w:rsidRDefault="009B7134" w:rsidP="009B7134">
      <w:pPr>
        <w:rPr>
          <w:rFonts w:cs="Estrangelo Edessa"/>
        </w:rPr>
      </w:pPr>
      <w:r>
        <w:rPr>
          <w:rFonts w:cs="Calibri"/>
        </w:rPr>
        <w:t xml:space="preserve">The IPA and member national pediatric societies stand ready to assist in forming feasible vision saving written policies and procedures The IPA urges the members of the WHA to help accelerate a solution by </w:t>
      </w:r>
      <w:r w:rsidR="00441620">
        <w:rPr>
          <w:rFonts w:cs="Calibri"/>
        </w:rPr>
        <w:t>encouraging Ministries</w:t>
      </w:r>
      <w:r>
        <w:rPr>
          <w:rFonts w:cs="Calibri"/>
        </w:rPr>
        <w:t xml:space="preserve"> of Health and pediatric professional </w:t>
      </w:r>
      <w:r w:rsidR="00441620">
        <w:rPr>
          <w:rFonts w:cs="Calibri"/>
        </w:rPr>
        <w:t>bodies work</w:t>
      </w:r>
      <w:r>
        <w:rPr>
          <w:rFonts w:cs="Calibri"/>
        </w:rPr>
        <w:t xml:space="preserve"> together to implement preventative strategies guiding the use of therapeutic oxygen along with programs to diagnose and treat ROP to help prevent blindness in preterm babies.</w:t>
      </w:r>
    </w:p>
    <w:p w:rsidR="006F186C" w:rsidRPr="006F186C" w:rsidRDefault="006F186C" w:rsidP="006F186C">
      <w:pPr>
        <w:rPr>
          <w:rFonts w:cs="Estrangelo Edessa"/>
        </w:rPr>
      </w:pPr>
    </w:p>
    <w:sectPr w:rsidR="006F186C" w:rsidRPr="006F186C" w:rsidSect="009774B1">
      <w:headerReference w:type="default" r:id="rId8"/>
      <w:footerReference w:type="default" r:id="rId9"/>
      <w:pgSz w:w="12240" w:h="15840"/>
      <w:pgMar w:top="1800" w:right="1080" w:bottom="1080" w:left="108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023" w:rsidRDefault="00E14023" w:rsidP="001D2E97">
      <w:pPr>
        <w:spacing w:after="0" w:line="240" w:lineRule="auto"/>
      </w:pPr>
      <w:r>
        <w:separator/>
      </w:r>
    </w:p>
  </w:endnote>
  <w:endnote w:type="continuationSeparator" w:id="0">
    <w:p w:rsidR="00E14023" w:rsidRDefault="00E14023" w:rsidP="001D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strangelo Edessa">
    <w:panose1 w:val="030806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8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40"/>
      <w:gridCol w:w="5940"/>
    </w:tblGrid>
    <w:tr w:rsidR="00E569EC" w:rsidRPr="00DE0527" w:rsidTr="008C0ABB">
      <w:tc>
        <w:tcPr>
          <w:tcW w:w="11880" w:type="dxa"/>
          <w:gridSpan w:val="2"/>
        </w:tcPr>
        <w:p w:rsidR="008C0ABB" w:rsidRDefault="00E569EC" w:rsidP="008C0ABB">
          <w:pPr>
            <w:spacing w:after="0" w:line="240" w:lineRule="auto"/>
            <w:ind w:left="360" w:right="360"/>
            <w:jc w:val="both"/>
            <w:rPr>
              <w:rFonts w:ascii="Calibri" w:hAnsi="Calibri" w:cs="Calibri"/>
              <w:sz w:val="16"/>
              <w:szCs w:val="16"/>
            </w:rPr>
          </w:pPr>
          <w:r w:rsidRPr="00D32BCB">
            <w:rPr>
              <w:rFonts w:ascii="Calibri" w:hAnsi="Calibri" w:cs="Calibri"/>
              <w:sz w:val="16"/>
              <w:szCs w:val="16"/>
            </w:rPr>
            <w:t>The International Pediatric Association (IPA) is a non-governmental organization with a membership of 144 National Pediatric Societies from 139 countries, 10 Regional Pediatric Societies representing all areas of the world, and 13 International Pediatric Specialty Societies. The IPA works collaboratively with member societies to mobilize networks of pediatricians for advocacy and programs in child health, working whenever possible with UN agencies.  IPA works in close partnership with the American Academy of Pediatrics (AAP) on global vaccine priorities, and with AAP and the Albert B Sabin Vaccine Institute (SVI) on the Measles and Rubella Initiative.</w:t>
          </w:r>
        </w:p>
        <w:p w:rsidR="00E569EC" w:rsidRPr="008C0ABB" w:rsidRDefault="008C0ABB" w:rsidP="008C0ABB">
          <w:pPr>
            <w:spacing w:after="0" w:line="240" w:lineRule="auto"/>
            <w:ind w:left="175"/>
            <w:rPr>
              <w:rFonts w:cstheme="minorHAnsi"/>
              <w:sz w:val="16"/>
              <w:szCs w:val="16"/>
            </w:rPr>
          </w:pPr>
          <w:r w:rsidRPr="008C0ABB">
            <w:rPr>
              <w:rFonts w:cstheme="minorHAnsi"/>
              <w:sz w:val="16"/>
              <w:szCs w:val="16"/>
            </w:rPr>
            <w:t xml:space="preserve">  </w:t>
          </w:r>
        </w:p>
      </w:tc>
    </w:tr>
    <w:tr w:rsidR="0005767F" w:rsidRPr="00DE0527" w:rsidTr="008C0ABB">
      <w:tc>
        <w:tcPr>
          <w:tcW w:w="5940" w:type="dxa"/>
        </w:tcPr>
        <w:p w:rsidR="0005767F" w:rsidRPr="0005767F" w:rsidRDefault="0005767F" w:rsidP="008C0ABB">
          <w:pPr>
            <w:jc w:val="center"/>
            <w:rPr>
              <w:rFonts w:cstheme="minorHAnsi"/>
              <w:b/>
              <w:color w:val="5B9BD5" w:themeColor="accent1"/>
              <w:sz w:val="16"/>
              <w:szCs w:val="16"/>
            </w:rPr>
          </w:pPr>
          <w:r w:rsidRPr="00CB453D">
            <w:rPr>
              <w:rFonts w:cstheme="minorHAnsi"/>
              <w:b/>
              <w:color w:val="5B9BD5" w:themeColor="accent1"/>
              <w:sz w:val="16"/>
              <w:szCs w:val="16"/>
            </w:rPr>
            <w:t>Pre</w:t>
          </w:r>
          <w:r>
            <w:rPr>
              <w:rFonts w:cstheme="minorHAnsi"/>
              <w:b/>
              <w:color w:val="5B9BD5" w:themeColor="accent1"/>
              <w:sz w:val="16"/>
              <w:szCs w:val="16"/>
            </w:rPr>
            <w:t>sident’s &amp; Administrative Office</w:t>
          </w:r>
          <w:r>
            <w:rPr>
              <w:rFonts w:cstheme="minorHAnsi"/>
              <w:b/>
              <w:color w:val="5B9BD5" w:themeColor="accent1"/>
              <w:sz w:val="16"/>
              <w:szCs w:val="16"/>
            </w:rPr>
            <w:br/>
          </w:r>
          <w:r>
            <w:rPr>
              <w:rFonts w:cstheme="minorHAnsi"/>
              <w:sz w:val="16"/>
              <w:szCs w:val="16"/>
            </w:rPr>
            <w:t xml:space="preserve">15, </w:t>
          </w:r>
          <w:proofErr w:type="spellStart"/>
          <w:r>
            <w:rPr>
              <w:rFonts w:cstheme="minorHAnsi"/>
              <w:sz w:val="16"/>
              <w:szCs w:val="16"/>
            </w:rPr>
            <w:t>Bacopoulou</w:t>
          </w:r>
          <w:proofErr w:type="spellEnd"/>
          <w:r>
            <w:rPr>
              <w:rFonts w:cstheme="minorHAnsi"/>
              <w:sz w:val="16"/>
              <w:szCs w:val="16"/>
            </w:rPr>
            <w:t xml:space="preserve"> Str. N. </w:t>
          </w:r>
          <w:proofErr w:type="spellStart"/>
          <w:r>
            <w:rPr>
              <w:rFonts w:cstheme="minorHAnsi"/>
              <w:sz w:val="16"/>
              <w:szCs w:val="16"/>
            </w:rPr>
            <w:t>Psychico</w:t>
          </w:r>
          <w:proofErr w:type="spellEnd"/>
          <w:r>
            <w:rPr>
              <w:rFonts w:cstheme="minorHAnsi"/>
              <w:sz w:val="16"/>
              <w:szCs w:val="16"/>
            </w:rPr>
            <w:t>, Athens 154 51, Greece</w:t>
          </w:r>
          <w:r>
            <w:rPr>
              <w:rFonts w:cstheme="minorHAnsi"/>
              <w:b/>
              <w:color w:val="5B9BD5" w:themeColor="accent1"/>
              <w:sz w:val="16"/>
              <w:szCs w:val="16"/>
            </w:rPr>
            <w:br/>
          </w:r>
          <w:r>
            <w:rPr>
              <w:rFonts w:cstheme="minorHAnsi"/>
              <w:sz w:val="16"/>
              <w:szCs w:val="16"/>
            </w:rPr>
            <w:t xml:space="preserve">Tel.: +30 697 447 7132; Fax: +30 210 777 1663 </w:t>
          </w:r>
          <w:r w:rsidRPr="005D28FC">
            <w:rPr>
              <w:rFonts w:cstheme="minorHAnsi"/>
              <w:sz w:val="16"/>
              <w:szCs w:val="16"/>
              <w:lang w:val="de-DE"/>
            </w:rPr>
            <w:t xml:space="preserve">e-mail: </w:t>
          </w:r>
          <w:hyperlink r:id="rId1" w:history="1">
            <w:r w:rsidRPr="00343369">
              <w:rPr>
                <w:rStyle w:val="Hyperlink"/>
                <w:rFonts w:cstheme="minorHAnsi"/>
                <w:sz w:val="16"/>
                <w:szCs w:val="16"/>
                <w:lang w:val="de-DE"/>
              </w:rPr>
              <w:t>adminoffice@ipa-world.org</w:t>
            </w:r>
          </w:hyperlink>
          <w:r w:rsidRPr="005D28FC">
            <w:rPr>
              <w:rFonts w:cstheme="minorHAnsi"/>
              <w:sz w:val="16"/>
              <w:szCs w:val="16"/>
              <w:lang w:val="de-DE"/>
            </w:rPr>
            <w:t xml:space="preserve"> </w:t>
          </w:r>
        </w:p>
      </w:tc>
      <w:tc>
        <w:tcPr>
          <w:tcW w:w="5940" w:type="dxa"/>
        </w:tcPr>
        <w:p w:rsidR="0005767F" w:rsidRPr="00DE0527" w:rsidRDefault="0005767F" w:rsidP="0005767F">
          <w:pPr>
            <w:ind w:left="162"/>
            <w:jc w:val="center"/>
            <w:rPr>
              <w:rFonts w:cstheme="minorHAnsi"/>
              <w:sz w:val="16"/>
              <w:szCs w:val="16"/>
            </w:rPr>
          </w:pPr>
          <w:r w:rsidRPr="00CB453D">
            <w:rPr>
              <w:rFonts w:cstheme="minorHAnsi"/>
              <w:b/>
              <w:color w:val="5B9BD5" w:themeColor="accent1"/>
              <w:sz w:val="16"/>
              <w:szCs w:val="16"/>
            </w:rPr>
            <w:t>Executive Director</w:t>
          </w:r>
          <w:r>
            <w:rPr>
              <w:rFonts w:cstheme="minorHAnsi"/>
              <w:b/>
              <w:color w:val="5B9BD5" w:themeColor="accent1"/>
              <w:sz w:val="16"/>
              <w:szCs w:val="16"/>
            </w:rPr>
            <w:t xml:space="preserve"> Office</w:t>
          </w:r>
          <w:r>
            <w:rPr>
              <w:rFonts w:cstheme="minorHAnsi"/>
              <w:b/>
              <w:color w:val="5B9BD5" w:themeColor="accent1"/>
              <w:sz w:val="16"/>
              <w:szCs w:val="16"/>
            </w:rPr>
            <w:br/>
          </w:r>
          <w:r w:rsidRPr="00DE0527">
            <w:rPr>
              <w:rFonts w:cstheme="minorHAnsi"/>
              <w:sz w:val="16"/>
              <w:szCs w:val="16"/>
            </w:rPr>
            <w:t xml:space="preserve">141 Northwest Point Blvd, </w:t>
          </w:r>
          <w:r>
            <w:rPr>
              <w:rFonts w:cstheme="minorHAnsi"/>
              <w:sz w:val="16"/>
              <w:szCs w:val="16"/>
            </w:rPr>
            <w:t>E</w:t>
          </w:r>
          <w:r w:rsidRPr="00DE0527">
            <w:rPr>
              <w:rFonts w:cstheme="minorHAnsi"/>
              <w:sz w:val="16"/>
              <w:szCs w:val="16"/>
            </w:rPr>
            <w:t xml:space="preserve">lk </w:t>
          </w:r>
          <w:r>
            <w:rPr>
              <w:rFonts w:cstheme="minorHAnsi"/>
              <w:sz w:val="16"/>
              <w:szCs w:val="16"/>
            </w:rPr>
            <w:t>G</w:t>
          </w:r>
          <w:r w:rsidRPr="00DE0527">
            <w:rPr>
              <w:rFonts w:cstheme="minorHAnsi"/>
              <w:sz w:val="16"/>
              <w:szCs w:val="16"/>
            </w:rPr>
            <w:t>rove Village, IL 60007, USA</w:t>
          </w:r>
          <w:r>
            <w:rPr>
              <w:rFonts w:cstheme="minorHAnsi"/>
              <w:b/>
              <w:color w:val="5B9BD5" w:themeColor="accent1"/>
              <w:sz w:val="16"/>
              <w:szCs w:val="16"/>
            </w:rPr>
            <w:br/>
          </w:r>
          <w:r w:rsidRPr="00DE0527">
            <w:rPr>
              <w:rFonts w:cstheme="minorHAnsi"/>
              <w:sz w:val="16"/>
              <w:szCs w:val="16"/>
            </w:rPr>
            <w:t>Tel.</w:t>
          </w:r>
          <w:r>
            <w:rPr>
              <w:rFonts w:cstheme="minorHAnsi"/>
              <w:sz w:val="16"/>
              <w:szCs w:val="16"/>
            </w:rPr>
            <w:t>:</w:t>
          </w:r>
          <w:r w:rsidRPr="00DE0527">
            <w:rPr>
              <w:rFonts w:cstheme="minorHAnsi"/>
              <w:sz w:val="16"/>
              <w:szCs w:val="16"/>
            </w:rPr>
            <w:t xml:space="preserve"> +1 847 434 4293; Fax: +1 847 228 5027</w:t>
          </w:r>
          <w:r>
            <w:rPr>
              <w:rFonts w:cstheme="minorHAnsi"/>
              <w:sz w:val="16"/>
              <w:szCs w:val="16"/>
            </w:rPr>
            <w:t xml:space="preserve"> </w:t>
          </w:r>
          <w:r w:rsidRPr="00DE0527">
            <w:rPr>
              <w:rFonts w:cstheme="minorHAnsi"/>
              <w:sz w:val="16"/>
              <w:szCs w:val="16"/>
            </w:rPr>
            <w:t xml:space="preserve">e-mail: </w:t>
          </w:r>
          <w:hyperlink r:id="rId2" w:history="1">
            <w:r w:rsidRPr="00E65540">
              <w:rPr>
                <w:rStyle w:val="Hyperlink"/>
                <w:rFonts w:cstheme="minorHAnsi"/>
                <w:sz w:val="16"/>
                <w:szCs w:val="16"/>
                <w:lang w:val="de-DE"/>
              </w:rPr>
              <w:t>adminoffice@ipa-world.org</w:t>
            </w:r>
          </w:hyperlink>
        </w:p>
      </w:tc>
    </w:tr>
  </w:tbl>
  <w:p w:rsidR="0005767F" w:rsidRDefault="00057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023" w:rsidRDefault="00E14023" w:rsidP="001D2E97">
      <w:pPr>
        <w:spacing w:after="0" w:line="240" w:lineRule="auto"/>
      </w:pPr>
      <w:r>
        <w:separator/>
      </w:r>
    </w:p>
  </w:footnote>
  <w:footnote w:type="continuationSeparator" w:id="0">
    <w:p w:rsidR="00E14023" w:rsidRDefault="00E14023" w:rsidP="001D2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E97" w:rsidRDefault="001D2E97">
    <w:pPr>
      <w:pStyle w:val="Header"/>
    </w:pPr>
    <w:r>
      <w:rPr>
        <w:noProof/>
      </w:rPr>
      <w:drawing>
        <wp:anchor distT="0" distB="0" distL="114300" distR="114300" simplePos="0" relativeHeight="251659264" behindDoc="1" locked="0" layoutInCell="1" allowOverlap="1" wp14:anchorId="7AEDEB3D" wp14:editId="14666E76">
          <wp:simplePos x="0" y="0"/>
          <wp:positionH relativeFrom="column">
            <wp:posOffset>3486150</wp:posOffset>
          </wp:positionH>
          <wp:positionV relativeFrom="paragraph">
            <wp:posOffset>209550</wp:posOffset>
          </wp:positionV>
          <wp:extent cx="3171825" cy="700405"/>
          <wp:effectExtent l="0" t="0" r="952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 logo 2013.JPG"/>
                  <pic:cNvPicPr/>
                </pic:nvPicPr>
                <pic:blipFill>
                  <a:blip r:embed="rId1">
                    <a:extLst>
                      <a:ext uri="{28A0092B-C50C-407E-A947-70E740481C1C}">
                        <a14:useLocalDpi xmlns:a14="http://schemas.microsoft.com/office/drawing/2010/main" val="0"/>
                      </a:ext>
                    </a:extLst>
                  </a:blip>
                  <a:stretch>
                    <a:fillRect/>
                  </a:stretch>
                </pic:blipFill>
                <pic:spPr>
                  <a:xfrm>
                    <a:off x="0" y="0"/>
                    <a:ext cx="3171825" cy="700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489"/>
    <w:multiLevelType w:val="hybridMultilevel"/>
    <w:tmpl w:val="8B56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23685"/>
    <w:multiLevelType w:val="hybridMultilevel"/>
    <w:tmpl w:val="B54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151F8"/>
    <w:multiLevelType w:val="hybridMultilevel"/>
    <w:tmpl w:val="31AE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65697"/>
    <w:multiLevelType w:val="hybridMultilevel"/>
    <w:tmpl w:val="404AC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97C4D"/>
    <w:multiLevelType w:val="hybridMultilevel"/>
    <w:tmpl w:val="551A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DB051D"/>
    <w:multiLevelType w:val="hybridMultilevel"/>
    <w:tmpl w:val="9FF4E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6D38FD"/>
    <w:multiLevelType w:val="hybridMultilevel"/>
    <w:tmpl w:val="1CC03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7921E3-4916-4042-B5AE-28CF209DDB35}"/>
    <w:docVar w:name="dgnword-eventsink" w:val="74129288"/>
  </w:docVars>
  <w:rsids>
    <w:rsidRoot w:val="005F35B0"/>
    <w:rsid w:val="000235EB"/>
    <w:rsid w:val="0005767F"/>
    <w:rsid w:val="000817A0"/>
    <w:rsid w:val="00093A6C"/>
    <w:rsid w:val="000D581E"/>
    <w:rsid w:val="00134737"/>
    <w:rsid w:val="00193D23"/>
    <w:rsid w:val="001D1030"/>
    <w:rsid w:val="001D2E97"/>
    <w:rsid w:val="002D4D67"/>
    <w:rsid w:val="002E35B5"/>
    <w:rsid w:val="002F3B59"/>
    <w:rsid w:val="00330E1B"/>
    <w:rsid w:val="00412B04"/>
    <w:rsid w:val="00426BF0"/>
    <w:rsid w:val="004410A3"/>
    <w:rsid w:val="00441620"/>
    <w:rsid w:val="00480CAF"/>
    <w:rsid w:val="004D534E"/>
    <w:rsid w:val="004F68FE"/>
    <w:rsid w:val="00503B30"/>
    <w:rsid w:val="00513A80"/>
    <w:rsid w:val="00531286"/>
    <w:rsid w:val="0055549D"/>
    <w:rsid w:val="005567F0"/>
    <w:rsid w:val="005F35B0"/>
    <w:rsid w:val="00623F87"/>
    <w:rsid w:val="00624993"/>
    <w:rsid w:val="006D170C"/>
    <w:rsid w:val="006D2C8F"/>
    <w:rsid w:val="006F186C"/>
    <w:rsid w:val="00713ED9"/>
    <w:rsid w:val="007912CF"/>
    <w:rsid w:val="0083162B"/>
    <w:rsid w:val="008329F1"/>
    <w:rsid w:val="00865283"/>
    <w:rsid w:val="008B2555"/>
    <w:rsid w:val="008C0ABB"/>
    <w:rsid w:val="008E001E"/>
    <w:rsid w:val="008F5E53"/>
    <w:rsid w:val="00945F16"/>
    <w:rsid w:val="009774B1"/>
    <w:rsid w:val="009827A0"/>
    <w:rsid w:val="009B7134"/>
    <w:rsid w:val="009C5CEB"/>
    <w:rsid w:val="009D160C"/>
    <w:rsid w:val="009E41A4"/>
    <w:rsid w:val="00A05C4A"/>
    <w:rsid w:val="00A21B1B"/>
    <w:rsid w:val="00A75CE4"/>
    <w:rsid w:val="00AA3A07"/>
    <w:rsid w:val="00AC0B23"/>
    <w:rsid w:val="00AF42E4"/>
    <w:rsid w:val="00B110A2"/>
    <w:rsid w:val="00B248D4"/>
    <w:rsid w:val="00B57BA5"/>
    <w:rsid w:val="00BC1C6B"/>
    <w:rsid w:val="00C503DC"/>
    <w:rsid w:val="00D00D0E"/>
    <w:rsid w:val="00D2323A"/>
    <w:rsid w:val="00D33A5C"/>
    <w:rsid w:val="00D7091C"/>
    <w:rsid w:val="00D80D1E"/>
    <w:rsid w:val="00E14023"/>
    <w:rsid w:val="00E22247"/>
    <w:rsid w:val="00E569EC"/>
    <w:rsid w:val="00F743F3"/>
    <w:rsid w:val="00F77CC8"/>
    <w:rsid w:val="00F95681"/>
    <w:rsid w:val="00FD2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872A06-CDD7-4C76-9E7E-F76A485C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00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B0"/>
    <w:pPr>
      <w:ind w:left="720"/>
      <w:contextualSpacing/>
    </w:pPr>
  </w:style>
  <w:style w:type="character" w:styleId="CommentReference">
    <w:name w:val="annotation reference"/>
    <w:uiPriority w:val="99"/>
    <w:semiHidden/>
    <w:unhideWhenUsed/>
    <w:rsid w:val="004410A3"/>
    <w:rPr>
      <w:sz w:val="18"/>
      <w:szCs w:val="18"/>
    </w:rPr>
  </w:style>
  <w:style w:type="paragraph" w:styleId="CommentText">
    <w:name w:val="annotation text"/>
    <w:basedOn w:val="Normal"/>
    <w:link w:val="CommentTextChar"/>
    <w:uiPriority w:val="99"/>
    <w:semiHidden/>
    <w:unhideWhenUsed/>
    <w:rsid w:val="004410A3"/>
    <w:pPr>
      <w:spacing w:after="0" w:line="240" w:lineRule="auto"/>
    </w:pPr>
    <w:rPr>
      <w:rFonts w:ascii="Cambria" w:eastAsia="MS Mincho" w:hAnsi="Cambria"/>
      <w:sz w:val="24"/>
      <w:szCs w:val="24"/>
    </w:rPr>
  </w:style>
  <w:style w:type="character" w:customStyle="1" w:styleId="CommentTextChar">
    <w:name w:val="Comment Text Char"/>
    <w:link w:val="CommentText"/>
    <w:uiPriority w:val="99"/>
    <w:semiHidden/>
    <w:rsid w:val="004410A3"/>
    <w:rPr>
      <w:rFonts w:ascii="Cambria" w:eastAsia="MS Mincho" w:hAnsi="Cambria"/>
      <w:sz w:val="24"/>
      <w:szCs w:val="24"/>
    </w:rPr>
  </w:style>
  <w:style w:type="paragraph" w:styleId="BalloonText">
    <w:name w:val="Balloon Text"/>
    <w:basedOn w:val="Normal"/>
    <w:link w:val="BalloonTextChar"/>
    <w:uiPriority w:val="99"/>
    <w:semiHidden/>
    <w:unhideWhenUsed/>
    <w:rsid w:val="004410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10A3"/>
    <w:rPr>
      <w:rFonts w:ascii="Tahoma" w:hAnsi="Tahoma" w:cs="Tahoma"/>
      <w:sz w:val="16"/>
      <w:szCs w:val="16"/>
    </w:rPr>
  </w:style>
  <w:style w:type="paragraph" w:styleId="Header">
    <w:name w:val="header"/>
    <w:basedOn w:val="Normal"/>
    <w:link w:val="HeaderChar"/>
    <w:uiPriority w:val="99"/>
    <w:unhideWhenUsed/>
    <w:rsid w:val="001D2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E97"/>
    <w:rPr>
      <w:sz w:val="22"/>
      <w:szCs w:val="22"/>
    </w:rPr>
  </w:style>
  <w:style w:type="paragraph" w:styleId="Footer">
    <w:name w:val="footer"/>
    <w:basedOn w:val="Normal"/>
    <w:link w:val="FooterChar"/>
    <w:uiPriority w:val="99"/>
    <w:unhideWhenUsed/>
    <w:rsid w:val="001D2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E97"/>
    <w:rPr>
      <w:sz w:val="22"/>
      <w:szCs w:val="22"/>
    </w:rPr>
  </w:style>
  <w:style w:type="table" w:styleId="TableGrid">
    <w:name w:val="Table Grid"/>
    <w:basedOn w:val="TableNormal"/>
    <w:uiPriority w:val="59"/>
    <w:rsid w:val="000576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76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44428">
      <w:bodyDiv w:val="1"/>
      <w:marLeft w:val="0"/>
      <w:marRight w:val="0"/>
      <w:marTop w:val="0"/>
      <w:marBottom w:val="0"/>
      <w:divBdr>
        <w:top w:val="none" w:sz="0" w:space="0" w:color="auto"/>
        <w:left w:val="none" w:sz="0" w:space="0" w:color="auto"/>
        <w:bottom w:val="none" w:sz="0" w:space="0" w:color="auto"/>
        <w:right w:val="none" w:sz="0" w:space="0" w:color="auto"/>
      </w:divBdr>
    </w:div>
    <w:div w:id="188501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dminoffice@ipa-world.org" TargetMode="External"/><Relationship Id="rId1" Type="http://schemas.openxmlformats.org/officeDocument/2006/relationships/hyperlink" Target="mailto:adminoffice@ipa-worl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241D5-3B45-4CC9-B266-8B63F234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Zipursky</dc:creator>
  <cp:lastModifiedBy>Bill Keenan</cp:lastModifiedBy>
  <cp:revision>2</cp:revision>
  <dcterms:created xsi:type="dcterms:W3CDTF">2016-05-21T13:11:00Z</dcterms:created>
  <dcterms:modified xsi:type="dcterms:W3CDTF">2016-05-21T13:11:00Z</dcterms:modified>
</cp:coreProperties>
</file>